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ook w:val="01E0" w:firstRow="1" w:lastRow="1" w:firstColumn="1" w:lastColumn="1" w:noHBand="0" w:noVBand="0"/>
      </w:tblPr>
      <w:tblGrid>
        <w:gridCol w:w="1416"/>
        <w:gridCol w:w="2403"/>
        <w:gridCol w:w="3221"/>
        <w:gridCol w:w="2014"/>
      </w:tblGrid>
      <w:tr w:rsidR="00CA7BC6" w:rsidRPr="006379BA" w:rsidTr="00E541B0">
        <w:trPr>
          <w:cantSplit/>
          <w:trHeight w:val="345"/>
        </w:trPr>
        <w:tc>
          <w:tcPr>
            <w:tcW w:w="774" w:type="pct"/>
            <w:vMerge w:val="restart"/>
            <w:vAlign w:val="center"/>
          </w:tcPr>
          <w:p w:rsidR="00CA7BC6" w:rsidRPr="006379BA" w:rsidRDefault="00CA7BC6" w:rsidP="00E541B0">
            <w:pPr>
              <w:tabs>
                <w:tab w:val="center" w:pos="4419"/>
                <w:tab w:val="right" w:pos="8838"/>
              </w:tabs>
              <w:jc w:val="center"/>
              <w:rPr>
                <w:rFonts w:ascii="Arial" w:hAnsi="Arial" w:cs="Arial"/>
              </w:rPr>
            </w:pPr>
            <w:bookmarkStart w:id="0" w:name="_GoBack"/>
            <w:bookmarkEnd w:id="0"/>
            <w:r w:rsidRPr="006379BA">
              <w:rPr>
                <w:rFonts w:ascii="Arial" w:hAnsi="Arial" w:cs="Arial"/>
                <w:noProof/>
                <w:lang w:val="es-CO" w:eastAsia="es-CO"/>
              </w:rPr>
              <w:drawing>
                <wp:inline distT="0" distB="0" distL="0" distR="0">
                  <wp:extent cx="752475" cy="752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3110" w:type="pct"/>
            <w:gridSpan w:val="2"/>
            <w:vMerge w:val="restart"/>
            <w:vAlign w:val="center"/>
          </w:tcPr>
          <w:p w:rsidR="00CA7BC6" w:rsidRPr="006379BA" w:rsidRDefault="00CA7BC6" w:rsidP="00E541B0">
            <w:pPr>
              <w:tabs>
                <w:tab w:val="center" w:pos="4419"/>
                <w:tab w:val="right" w:pos="8838"/>
              </w:tabs>
              <w:jc w:val="center"/>
              <w:rPr>
                <w:rFonts w:ascii="Arial" w:hAnsi="Arial" w:cs="Arial"/>
                <w:b/>
              </w:rPr>
            </w:pPr>
          </w:p>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GOBERNACIÓN DEL TOLIMA</w:t>
            </w:r>
          </w:p>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SISTEMA INTEGRADO DE GESTION</w:t>
            </w:r>
          </w:p>
        </w:tc>
        <w:tc>
          <w:tcPr>
            <w:tcW w:w="1116" w:type="pct"/>
            <w:vAlign w:val="center"/>
          </w:tcPr>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 xml:space="preserve">Código: </w:t>
            </w:r>
          </w:p>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FOR-DE-002</w:t>
            </w:r>
          </w:p>
        </w:tc>
      </w:tr>
      <w:tr w:rsidR="00CA7BC6" w:rsidRPr="006379BA" w:rsidTr="00E541B0">
        <w:trPr>
          <w:cantSplit/>
          <w:trHeight w:val="502"/>
        </w:trPr>
        <w:tc>
          <w:tcPr>
            <w:tcW w:w="774" w:type="pct"/>
            <w:vMerge/>
            <w:vAlign w:val="center"/>
          </w:tcPr>
          <w:p w:rsidR="00CA7BC6" w:rsidRPr="006379BA" w:rsidRDefault="00CA7BC6" w:rsidP="00E541B0">
            <w:pPr>
              <w:tabs>
                <w:tab w:val="center" w:pos="4419"/>
                <w:tab w:val="right" w:pos="8838"/>
              </w:tabs>
              <w:jc w:val="center"/>
              <w:rPr>
                <w:rFonts w:ascii="Arial" w:hAnsi="Arial" w:cs="Arial"/>
              </w:rPr>
            </w:pPr>
          </w:p>
        </w:tc>
        <w:tc>
          <w:tcPr>
            <w:tcW w:w="3110" w:type="pct"/>
            <w:gridSpan w:val="2"/>
            <w:vMerge/>
            <w:vAlign w:val="center"/>
          </w:tcPr>
          <w:p w:rsidR="00CA7BC6" w:rsidRPr="006379BA" w:rsidRDefault="00CA7BC6" w:rsidP="00E541B0">
            <w:pPr>
              <w:tabs>
                <w:tab w:val="center" w:pos="4419"/>
                <w:tab w:val="right" w:pos="8838"/>
              </w:tabs>
              <w:jc w:val="center"/>
              <w:rPr>
                <w:rFonts w:ascii="Arial" w:hAnsi="Arial" w:cs="Arial"/>
                <w:b/>
                <w:noProof/>
              </w:rPr>
            </w:pPr>
          </w:p>
        </w:tc>
        <w:tc>
          <w:tcPr>
            <w:tcW w:w="1116" w:type="pct"/>
            <w:vAlign w:val="center"/>
          </w:tcPr>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Versión: 02</w:t>
            </w:r>
          </w:p>
        </w:tc>
      </w:tr>
      <w:tr w:rsidR="00CA7BC6" w:rsidRPr="006379BA" w:rsidTr="00E541B0">
        <w:trPr>
          <w:cantSplit/>
          <w:trHeight w:val="502"/>
        </w:trPr>
        <w:tc>
          <w:tcPr>
            <w:tcW w:w="774" w:type="pct"/>
            <w:vMerge/>
          </w:tcPr>
          <w:p w:rsidR="00CA7BC6" w:rsidRPr="006379BA" w:rsidRDefault="00CA7BC6" w:rsidP="00E541B0">
            <w:pPr>
              <w:tabs>
                <w:tab w:val="center" w:pos="4419"/>
                <w:tab w:val="right" w:pos="8838"/>
              </w:tabs>
              <w:rPr>
                <w:rFonts w:ascii="Arial" w:hAnsi="Arial" w:cs="Arial"/>
              </w:rPr>
            </w:pPr>
          </w:p>
        </w:tc>
        <w:tc>
          <w:tcPr>
            <w:tcW w:w="1327" w:type="pct"/>
            <w:vAlign w:val="center"/>
          </w:tcPr>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MACROPROCESO:</w:t>
            </w:r>
          </w:p>
        </w:tc>
        <w:tc>
          <w:tcPr>
            <w:tcW w:w="1783" w:type="pct"/>
            <w:vAlign w:val="center"/>
          </w:tcPr>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DIRECCIONAMIENTO ESTRATEGICO</w:t>
            </w:r>
          </w:p>
        </w:tc>
        <w:tc>
          <w:tcPr>
            <w:tcW w:w="1116" w:type="pct"/>
            <w:vAlign w:val="center"/>
          </w:tcPr>
          <w:p w:rsidR="00CA7BC6" w:rsidRDefault="00CA7BC6" w:rsidP="00E541B0">
            <w:pPr>
              <w:tabs>
                <w:tab w:val="center" w:pos="4419"/>
                <w:tab w:val="right" w:pos="8838"/>
              </w:tabs>
              <w:jc w:val="center"/>
              <w:rPr>
                <w:rFonts w:ascii="Arial" w:hAnsi="Arial" w:cs="Arial"/>
                <w:b/>
              </w:rPr>
            </w:pPr>
            <w:r w:rsidRPr="006379BA">
              <w:rPr>
                <w:rFonts w:ascii="Arial" w:hAnsi="Arial" w:cs="Arial"/>
                <w:b/>
              </w:rPr>
              <w:t xml:space="preserve">Pág. </w:t>
            </w:r>
            <w:r w:rsidR="00FC7478" w:rsidRPr="006379BA">
              <w:rPr>
                <w:rFonts w:ascii="Arial" w:hAnsi="Arial" w:cs="Arial"/>
                <w:b/>
              </w:rPr>
              <w:fldChar w:fldCharType="begin"/>
            </w:r>
            <w:r w:rsidRPr="006379BA">
              <w:rPr>
                <w:rFonts w:ascii="Arial" w:hAnsi="Arial" w:cs="Arial"/>
                <w:b/>
              </w:rPr>
              <w:instrText xml:space="preserve"> PAGE </w:instrText>
            </w:r>
            <w:r w:rsidR="00FC7478" w:rsidRPr="006379BA">
              <w:rPr>
                <w:rFonts w:ascii="Arial" w:hAnsi="Arial" w:cs="Arial"/>
                <w:b/>
              </w:rPr>
              <w:fldChar w:fldCharType="separate"/>
            </w:r>
            <w:r>
              <w:rPr>
                <w:rFonts w:ascii="Arial" w:hAnsi="Arial" w:cs="Arial"/>
                <w:b/>
                <w:noProof/>
              </w:rPr>
              <w:t>1</w:t>
            </w:r>
            <w:r w:rsidR="00FC7478" w:rsidRPr="006379BA">
              <w:rPr>
                <w:rFonts w:ascii="Arial" w:hAnsi="Arial" w:cs="Arial"/>
                <w:b/>
              </w:rPr>
              <w:fldChar w:fldCharType="end"/>
            </w:r>
            <w:r w:rsidRPr="006379BA">
              <w:rPr>
                <w:rFonts w:ascii="Arial" w:hAnsi="Arial" w:cs="Arial"/>
                <w:b/>
              </w:rPr>
              <w:t xml:space="preserve"> de </w:t>
            </w:r>
            <w:r w:rsidR="00351620">
              <w:rPr>
                <w:rFonts w:ascii="Arial" w:hAnsi="Arial" w:cs="Arial"/>
                <w:b/>
              </w:rPr>
              <w:t>1</w:t>
            </w:r>
          </w:p>
          <w:p w:rsidR="00351620" w:rsidRPr="006379BA" w:rsidRDefault="00351620" w:rsidP="00E541B0">
            <w:pPr>
              <w:tabs>
                <w:tab w:val="center" w:pos="4419"/>
                <w:tab w:val="right" w:pos="8838"/>
              </w:tabs>
              <w:jc w:val="center"/>
              <w:rPr>
                <w:rFonts w:ascii="Arial" w:hAnsi="Arial" w:cs="Arial"/>
                <w:b/>
              </w:rPr>
            </w:pPr>
          </w:p>
        </w:tc>
      </w:tr>
      <w:tr w:rsidR="00CA7BC6" w:rsidRPr="006379BA" w:rsidTr="00E541B0">
        <w:trPr>
          <w:cantSplit/>
          <w:trHeight w:val="641"/>
        </w:trPr>
        <w:tc>
          <w:tcPr>
            <w:tcW w:w="774" w:type="pct"/>
            <w:vMerge/>
          </w:tcPr>
          <w:p w:rsidR="00CA7BC6" w:rsidRPr="006379BA" w:rsidRDefault="00CA7BC6" w:rsidP="00E541B0">
            <w:pPr>
              <w:tabs>
                <w:tab w:val="center" w:pos="4419"/>
                <w:tab w:val="right" w:pos="8838"/>
              </w:tabs>
              <w:rPr>
                <w:rFonts w:ascii="Arial" w:hAnsi="Arial" w:cs="Arial"/>
              </w:rPr>
            </w:pPr>
          </w:p>
        </w:tc>
        <w:tc>
          <w:tcPr>
            <w:tcW w:w="3110" w:type="pct"/>
            <w:gridSpan w:val="2"/>
            <w:shd w:val="clear" w:color="auto" w:fill="632423"/>
            <w:vAlign w:val="center"/>
          </w:tcPr>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ACTA DE REUNION</w:t>
            </w:r>
          </w:p>
        </w:tc>
        <w:tc>
          <w:tcPr>
            <w:tcW w:w="1116" w:type="pct"/>
            <w:vAlign w:val="center"/>
          </w:tcPr>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b/>
              </w:rPr>
              <w:t>Vigente desde:</w:t>
            </w:r>
          </w:p>
          <w:p w:rsidR="00CA7BC6" w:rsidRPr="006379BA" w:rsidRDefault="00CA7BC6" w:rsidP="00E541B0">
            <w:pPr>
              <w:tabs>
                <w:tab w:val="center" w:pos="4419"/>
                <w:tab w:val="right" w:pos="8838"/>
              </w:tabs>
              <w:jc w:val="center"/>
              <w:rPr>
                <w:rFonts w:ascii="Arial" w:hAnsi="Arial" w:cs="Arial"/>
                <w:b/>
              </w:rPr>
            </w:pPr>
            <w:r w:rsidRPr="006379BA">
              <w:rPr>
                <w:rFonts w:ascii="Arial" w:hAnsi="Arial" w:cs="Arial"/>
              </w:rPr>
              <w:t>13/12/2011</w:t>
            </w:r>
          </w:p>
        </w:tc>
      </w:tr>
    </w:tbl>
    <w:p w:rsidR="0004352E" w:rsidRDefault="0004352E"/>
    <w:p w:rsidR="00CA7BC6" w:rsidRPr="00B92E09" w:rsidRDefault="00CA7BC6">
      <w:pPr>
        <w:rPr>
          <w:b/>
        </w:rPr>
      </w:pPr>
    </w:p>
    <w:p w:rsidR="00CA7BC6" w:rsidRPr="00B92E09" w:rsidRDefault="00B92E09">
      <w:pPr>
        <w:rPr>
          <w:rFonts w:ascii="Arial" w:hAnsi="Arial" w:cs="Arial"/>
          <w:b/>
        </w:rPr>
      </w:pPr>
      <w:r w:rsidRPr="00B92E09">
        <w:rPr>
          <w:rFonts w:ascii="Arial" w:hAnsi="Arial" w:cs="Arial"/>
          <w:b/>
        </w:rPr>
        <w:t>Capacitación “Estructuración</w:t>
      </w:r>
      <w:r w:rsidR="00CA7BC6" w:rsidRPr="00B92E09">
        <w:rPr>
          <w:rFonts w:ascii="Arial" w:hAnsi="Arial" w:cs="Arial"/>
          <w:b/>
        </w:rPr>
        <w:t xml:space="preserve"> de Proyectos y Fuentes de Financiación</w:t>
      </w:r>
      <w:r w:rsidRPr="00B92E09">
        <w:rPr>
          <w:rFonts w:ascii="Arial" w:hAnsi="Arial" w:cs="Arial"/>
          <w:b/>
        </w:rPr>
        <w:t>”</w:t>
      </w:r>
    </w:p>
    <w:p w:rsidR="00B92E09" w:rsidRDefault="00B92E09" w:rsidP="00014E9D">
      <w:pPr>
        <w:jc w:val="both"/>
        <w:rPr>
          <w:rFonts w:ascii="Arial" w:hAnsi="Arial" w:cs="Arial"/>
        </w:rPr>
      </w:pPr>
    </w:p>
    <w:p w:rsidR="00B92E09" w:rsidRDefault="00B92E09" w:rsidP="00014E9D">
      <w:pPr>
        <w:jc w:val="both"/>
        <w:rPr>
          <w:rFonts w:ascii="Arial" w:hAnsi="Arial" w:cs="Arial"/>
        </w:rPr>
      </w:pPr>
      <w:r>
        <w:rPr>
          <w:rFonts w:ascii="Arial" w:hAnsi="Arial" w:cs="Arial"/>
        </w:rPr>
        <w:t xml:space="preserve">Durante los días 16, 23 y 30 de Septiembre se realizó esta capacitación con el fin de brindar un asesoramiento oportuno a los empresarios Tolimenses de cómo debe ser la estructuración de un proyecto y la ejecución del mismo, estamos convencidos que la capacitación es una base primordial para que nuestros empresarios tengan las herramientas suficientes para controlar y llevar de una forma exitosa el manejo y desenvolvimiento de sus negocios, de ahí radica la importancia de este tipo de eventos ya que la mayoría de nuestros empresarios desarrollan sus actividades </w:t>
      </w:r>
      <w:r w:rsidR="00DD0E38">
        <w:rPr>
          <w:rFonts w:ascii="Arial" w:hAnsi="Arial" w:cs="Arial"/>
        </w:rPr>
        <w:t>económica</w:t>
      </w:r>
      <w:r>
        <w:rPr>
          <w:rFonts w:ascii="Arial" w:hAnsi="Arial" w:cs="Arial"/>
        </w:rPr>
        <w:t xml:space="preserve">s de una forma más empírica y de cierta forma pueden perder muchas oportunidades solo por la falta de gestión y de conocimiento técnico, por esta razón desde la administración Departamental se realizan esfuerzos para que nuestros empresarios sean cada </w:t>
      </w:r>
      <w:r w:rsidR="00014E9D">
        <w:rPr>
          <w:rFonts w:ascii="Arial" w:hAnsi="Arial" w:cs="Arial"/>
        </w:rPr>
        <w:t>día</w:t>
      </w:r>
      <w:r>
        <w:rPr>
          <w:rFonts w:ascii="Arial" w:hAnsi="Arial" w:cs="Arial"/>
        </w:rPr>
        <w:t xml:space="preserve"> más competitivos en un ambiente de mercado cada vez más </w:t>
      </w:r>
      <w:r w:rsidR="00014E9D">
        <w:rPr>
          <w:rFonts w:ascii="Arial" w:hAnsi="Arial" w:cs="Arial"/>
        </w:rPr>
        <w:t>difícil para posicionar un proyecto y esto  exige que estemos cada vez más organizados y con la disponibilidad de atender la demanda de un proyecto de la mejor forma.</w:t>
      </w:r>
    </w:p>
    <w:p w:rsidR="00014E9D" w:rsidRDefault="00014E9D">
      <w:pPr>
        <w:rPr>
          <w:rFonts w:ascii="Arial" w:hAnsi="Arial" w:cs="Arial"/>
        </w:rPr>
      </w:pPr>
    </w:p>
    <w:p w:rsidR="00014E9D" w:rsidRDefault="00014E9D" w:rsidP="00014E9D">
      <w:pPr>
        <w:jc w:val="both"/>
        <w:rPr>
          <w:rFonts w:ascii="Arial" w:hAnsi="Arial" w:cs="Arial"/>
        </w:rPr>
      </w:pPr>
      <w:r>
        <w:rPr>
          <w:rFonts w:ascii="Arial" w:hAnsi="Arial" w:cs="Arial"/>
        </w:rPr>
        <w:t xml:space="preserve">Entre los temas que más llamaron la atención de los empresarios se encuentra el ciclo del proyecto donde se analizaron las diferentes etapas como la </w:t>
      </w:r>
      <w:r w:rsidRPr="00014E9D">
        <w:rPr>
          <w:rFonts w:ascii="Arial" w:hAnsi="Arial" w:cs="Arial"/>
          <w:b/>
        </w:rPr>
        <w:t>pre-inversión</w:t>
      </w:r>
      <w:r>
        <w:rPr>
          <w:rFonts w:ascii="Arial" w:hAnsi="Arial" w:cs="Arial"/>
        </w:rPr>
        <w:t xml:space="preserve"> que incluye la realización de un estudio de perfil, pre-factibilidad y factibilidad; </w:t>
      </w:r>
      <w:r w:rsidRPr="00014E9D">
        <w:rPr>
          <w:rFonts w:ascii="Arial" w:hAnsi="Arial" w:cs="Arial"/>
          <w:b/>
        </w:rPr>
        <w:t>Inversión</w:t>
      </w:r>
      <w:r w:rsidRPr="00014E9D">
        <w:rPr>
          <w:rFonts w:ascii="Arial" w:hAnsi="Arial" w:cs="Arial"/>
        </w:rPr>
        <w:t xml:space="preserve"> donde se ejecuta lo acordado en los estudios definitivos </w:t>
      </w:r>
      <w:r>
        <w:rPr>
          <w:rFonts w:ascii="Arial" w:hAnsi="Arial" w:cs="Arial"/>
        </w:rPr>
        <w:t xml:space="preserve">y por último la </w:t>
      </w:r>
      <w:r>
        <w:rPr>
          <w:rFonts w:ascii="Arial" w:hAnsi="Arial" w:cs="Arial"/>
          <w:b/>
        </w:rPr>
        <w:t>Pos-i</w:t>
      </w:r>
      <w:r w:rsidRPr="00014E9D">
        <w:rPr>
          <w:rFonts w:ascii="Arial" w:hAnsi="Arial" w:cs="Arial"/>
          <w:b/>
        </w:rPr>
        <w:t xml:space="preserve">nversión </w:t>
      </w:r>
      <w:r w:rsidRPr="00014E9D">
        <w:rPr>
          <w:rFonts w:ascii="Arial" w:hAnsi="Arial" w:cs="Arial"/>
        </w:rPr>
        <w:t xml:space="preserve">que va acompañada por la operación y el mantenimiento además de la evaluación y el direccionamiento de un proyecto que se </w:t>
      </w:r>
      <w:r w:rsidR="00DD0E38" w:rsidRPr="00014E9D">
        <w:rPr>
          <w:rFonts w:ascii="Arial" w:hAnsi="Arial" w:cs="Arial"/>
        </w:rPr>
        <w:t>esté</w:t>
      </w:r>
      <w:r w:rsidRPr="00014E9D">
        <w:rPr>
          <w:rFonts w:ascii="Arial" w:hAnsi="Arial" w:cs="Arial"/>
        </w:rPr>
        <w:t xml:space="preserve"> ejecutando</w:t>
      </w:r>
      <w:r>
        <w:rPr>
          <w:rFonts w:ascii="Arial" w:hAnsi="Arial" w:cs="Arial"/>
        </w:rPr>
        <w:t>.</w:t>
      </w:r>
    </w:p>
    <w:p w:rsidR="00014E9D" w:rsidRDefault="00014E9D" w:rsidP="00014E9D">
      <w:pPr>
        <w:jc w:val="both"/>
        <w:rPr>
          <w:rFonts w:ascii="Arial" w:hAnsi="Arial" w:cs="Arial"/>
        </w:rPr>
      </w:pPr>
    </w:p>
    <w:p w:rsidR="00DD0E38" w:rsidRPr="00014E9D" w:rsidRDefault="00DD0E38" w:rsidP="00014E9D">
      <w:pPr>
        <w:jc w:val="both"/>
        <w:rPr>
          <w:rFonts w:ascii="Arial" w:hAnsi="Arial" w:cs="Arial"/>
        </w:rPr>
      </w:pPr>
      <w:r>
        <w:rPr>
          <w:rFonts w:ascii="Arial" w:hAnsi="Arial" w:cs="Arial"/>
        </w:rPr>
        <w:t>Así mismo las participantes percibieron como se identifica un problema o una necesidad en un proyecto, población objetivo, antecedentes, objetivos del proyecto además del estudio de alternativas y la justificación técnica del proyecto en cuanto a la estructuración y aspectos principales de un proyecto, pero sin duda alguna la parte de la financiación fue una de las más esperadas ya que si bien es cierto se puede tener un buen proyecto lo importante es que este sea viable financieramente hablando y con esto se pueda convertir en una opción de inversión real, para esto se dio a conocer las diferentes alternativas público-privadas en cuanto a temas de financiación además de tener en cuenta una parte fundamental para el direccionamiento de un proyecto como lo son los planes de desarrollo y analizar todas las oportunidades que estos ofrecen.</w:t>
      </w:r>
    </w:p>
    <w:p w:rsidR="00014E9D" w:rsidRPr="00CA7BC6" w:rsidRDefault="00014E9D">
      <w:pPr>
        <w:rPr>
          <w:rFonts w:ascii="Arial" w:hAnsi="Arial" w:cs="Arial"/>
        </w:rPr>
      </w:pPr>
    </w:p>
    <w:sectPr w:rsidR="00014E9D" w:rsidRPr="00CA7BC6" w:rsidSect="00FC74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C6"/>
    <w:rsid w:val="00014E9D"/>
    <w:rsid w:val="0004352E"/>
    <w:rsid w:val="00351620"/>
    <w:rsid w:val="005E3EB1"/>
    <w:rsid w:val="00B92E09"/>
    <w:rsid w:val="00CA7BC6"/>
    <w:rsid w:val="00DD0E38"/>
    <w:rsid w:val="00F67B41"/>
    <w:rsid w:val="00FC74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664DA-9138-4EBC-AB07-95F24E89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B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7BC6"/>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C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MOLINA</dc:creator>
  <cp:lastModifiedBy>PLANEACION</cp:lastModifiedBy>
  <cp:revision>2</cp:revision>
  <dcterms:created xsi:type="dcterms:W3CDTF">2016-10-11T21:08:00Z</dcterms:created>
  <dcterms:modified xsi:type="dcterms:W3CDTF">2016-10-11T21:08:00Z</dcterms:modified>
</cp:coreProperties>
</file>